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2F" w:rsidRDefault="002D1F2F">
      <w:pPr>
        <w:pStyle w:val="a3"/>
        <w:jc w:val="center"/>
        <w:rPr>
          <w:spacing w:val="0"/>
        </w:rPr>
      </w:pPr>
      <w:r>
        <w:rPr>
          <w:rFonts w:ascii="ＭＳ 明朝" w:hAnsi="ＭＳ 明朝" w:hint="eastAsia"/>
          <w:spacing w:val="11"/>
          <w:sz w:val="24"/>
          <w:szCs w:val="24"/>
        </w:rPr>
        <w:t>鹿児島県茶生産協会茶品評会出品茶価格補てん基金制度運営要綱</w:t>
      </w:r>
    </w:p>
    <w:p w:rsidR="002D1F2F" w:rsidRDefault="002D1F2F">
      <w:pPr>
        <w:pStyle w:val="a3"/>
        <w:rPr>
          <w:spacing w:val="0"/>
        </w:rPr>
      </w:pPr>
    </w:p>
    <w:p w:rsidR="002D1F2F" w:rsidRDefault="002D1F2F">
      <w:pPr>
        <w:pStyle w:val="a3"/>
        <w:rPr>
          <w:spacing w:val="0"/>
        </w:rPr>
      </w:pPr>
      <w:r>
        <w:rPr>
          <w:rFonts w:ascii="ＭＳ 明朝" w:hAnsi="ＭＳ 明朝" w:hint="eastAsia"/>
        </w:rPr>
        <w:t>（目　的）</w:t>
      </w:r>
    </w:p>
    <w:p w:rsidR="002D1F2F" w:rsidRDefault="002D1F2F">
      <w:pPr>
        <w:pStyle w:val="a3"/>
        <w:rPr>
          <w:spacing w:val="0"/>
        </w:rPr>
      </w:pPr>
      <w:r>
        <w:rPr>
          <w:rFonts w:ascii="ＭＳ 明朝" w:hAnsi="ＭＳ 明朝" w:hint="eastAsia"/>
        </w:rPr>
        <w:t>第１条　この要綱は、一般社団法人鹿児島県茶生産協会（以下県茶生産協会という）が　　　実施する茶品評会出品者育成事業の円滑な業務を図るため必要な事項を定め、茶　　　品評会に出品した茶の価格安定を図ることにより生産者の出品意欲を高め、本県　　　産茶の銘柄の確立を図ることを目的とする。</w:t>
      </w:r>
    </w:p>
    <w:p w:rsidR="002D1F2F" w:rsidRDefault="002D1F2F">
      <w:pPr>
        <w:pStyle w:val="a3"/>
        <w:rPr>
          <w:spacing w:val="0"/>
        </w:rPr>
      </w:pPr>
    </w:p>
    <w:p w:rsidR="002D1F2F" w:rsidRDefault="002D1F2F">
      <w:pPr>
        <w:pStyle w:val="a3"/>
        <w:rPr>
          <w:spacing w:val="0"/>
        </w:rPr>
      </w:pPr>
      <w:r>
        <w:rPr>
          <w:rFonts w:ascii="ＭＳ 明朝" w:hAnsi="ＭＳ 明朝" w:hint="eastAsia"/>
        </w:rPr>
        <w:t>（茶品評会出品茶価格補てん基金の業務）</w:t>
      </w:r>
    </w:p>
    <w:p w:rsidR="002D1F2F" w:rsidRDefault="002D1F2F">
      <w:pPr>
        <w:pStyle w:val="a3"/>
        <w:rPr>
          <w:spacing w:val="0"/>
        </w:rPr>
      </w:pPr>
      <w:r>
        <w:rPr>
          <w:rFonts w:ascii="ＭＳ 明朝" w:hAnsi="ＭＳ 明朝" w:hint="eastAsia"/>
        </w:rPr>
        <w:t>第２条　鹿児島県茶生産協会茶品評会出品茶価格補てん基金（以下基金という）は、県　　　茶生産協会会員（会員の系列農家を含む）で、全国茶生産団体連合会が主催する　　　茶品評会（以下「茶品評会」という）に出品し、その審査成績において１等から　　　３等までに入賞した出品茶で、茶品評会の販売会要領に基づき販売され、その販　　　売単価が別に定める基準価格を下回った出品茶を対象に、価格補てん金を交付す　　　ることを業務とし、業務の運営はこの要綱の定めるところにより処理する。</w:t>
      </w:r>
    </w:p>
    <w:p w:rsidR="002D1F2F" w:rsidRDefault="002D1F2F">
      <w:pPr>
        <w:pStyle w:val="a3"/>
        <w:rPr>
          <w:spacing w:val="0"/>
        </w:rPr>
      </w:pPr>
    </w:p>
    <w:p w:rsidR="002D1F2F" w:rsidRDefault="002D1F2F">
      <w:pPr>
        <w:pStyle w:val="a3"/>
        <w:rPr>
          <w:spacing w:val="0"/>
        </w:rPr>
      </w:pPr>
      <w:r>
        <w:rPr>
          <w:rFonts w:ascii="ＭＳ 明朝" w:hAnsi="ＭＳ 明朝" w:hint="eastAsia"/>
        </w:rPr>
        <w:t>（運営資金）</w:t>
      </w:r>
    </w:p>
    <w:p w:rsidR="002D1F2F" w:rsidRDefault="002D1F2F">
      <w:pPr>
        <w:pStyle w:val="a3"/>
        <w:rPr>
          <w:spacing w:val="0"/>
        </w:rPr>
      </w:pPr>
      <w:r>
        <w:rPr>
          <w:rFonts w:ascii="ＭＳ 明朝" w:hAnsi="ＭＳ 明朝" w:hint="eastAsia"/>
        </w:rPr>
        <w:t>第３条　基金に必要な資金は、県茶生産協会のほか関係団体からの助成金等をもってあ　　　てる。</w:t>
      </w:r>
    </w:p>
    <w:p w:rsidR="002D1F2F" w:rsidRDefault="002D1F2F">
      <w:pPr>
        <w:pStyle w:val="a3"/>
        <w:rPr>
          <w:spacing w:val="0"/>
        </w:rPr>
      </w:pPr>
    </w:p>
    <w:p w:rsidR="002D1F2F" w:rsidRDefault="002D1F2F">
      <w:pPr>
        <w:pStyle w:val="a3"/>
        <w:rPr>
          <w:spacing w:val="0"/>
        </w:rPr>
      </w:pPr>
      <w:r>
        <w:rPr>
          <w:rFonts w:ascii="ＭＳ 明朝" w:hAnsi="ＭＳ 明朝" w:hint="eastAsia"/>
        </w:rPr>
        <w:t>（基準価格、補てん金額の算出）</w:t>
      </w:r>
    </w:p>
    <w:p w:rsidR="002D1F2F" w:rsidRDefault="002D1F2F">
      <w:pPr>
        <w:pStyle w:val="a3"/>
        <w:rPr>
          <w:spacing w:val="0"/>
        </w:rPr>
      </w:pPr>
      <w:r>
        <w:rPr>
          <w:rFonts w:ascii="ＭＳ 明朝" w:hAnsi="ＭＳ 明朝" w:hint="eastAsia"/>
        </w:rPr>
        <w:t>第４条　基準価格及び補てん金額は、次の算定方法により算出する。</w:t>
      </w:r>
    </w:p>
    <w:p w:rsidR="002D1F2F" w:rsidRDefault="002D1F2F">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(1)基準価格は販売した出品茶の審査等級ごとの入賞平均販売単価の９０パーセン</w:t>
      </w:r>
      <w:r>
        <w:rPr>
          <w:rFonts w:ascii="ＭＳ 明朝" w:hAnsi="ＭＳ 明朝" w:hint="eastAsia"/>
          <w:spacing w:val="5"/>
        </w:rPr>
        <w:t xml:space="preserve">      </w:t>
      </w:r>
      <w:r>
        <w:rPr>
          <w:rFonts w:ascii="ＭＳ 明朝" w:hAnsi="ＭＳ 明朝" w:hint="eastAsia"/>
        </w:rPr>
        <w:t>トの額とする。</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(2)補てん金の額は、基準価格から当該出品茶の販売単価を控除した額の９０パー</w:t>
      </w:r>
      <w:r>
        <w:rPr>
          <w:rFonts w:ascii="ＭＳ 明朝" w:hAnsi="ＭＳ 明朝" w:hint="eastAsia"/>
          <w:spacing w:val="5"/>
        </w:rPr>
        <w:t xml:space="preserve">      </w:t>
      </w:r>
      <w:r>
        <w:rPr>
          <w:rFonts w:ascii="ＭＳ 明朝" w:hAnsi="ＭＳ 明朝" w:hint="eastAsia"/>
        </w:rPr>
        <w:t>セントの額に販売量目を乗じた額とする。</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(3)(1)の平均販売単価の算出にあたっては、農林水産大臣賞を受賞した出品茶の単</w:t>
      </w:r>
      <w:r>
        <w:rPr>
          <w:rFonts w:ascii="ＭＳ 明朝" w:hAnsi="ＭＳ 明朝" w:hint="eastAsia"/>
          <w:spacing w:val="5"/>
        </w:rPr>
        <w:t xml:space="preserve">      </w:t>
      </w:r>
      <w:r>
        <w:rPr>
          <w:rFonts w:ascii="ＭＳ 明朝" w:hAnsi="ＭＳ 明朝" w:hint="eastAsia"/>
        </w:rPr>
        <w:t>価を除き、なおかつ当該審査等級ごとの入賞点数により次に定める点数の出品茶</w:t>
      </w:r>
      <w:r>
        <w:rPr>
          <w:rFonts w:ascii="ＭＳ 明朝" w:hAnsi="ＭＳ 明朝" w:hint="eastAsia"/>
          <w:spacing w:val="5"/>
        </w:rPr>
        <w:t xml:space="preserve">      </w:t>
      </w:r>
      <w:r>
        <w:rPr>
          <w:rFonts w:ascii="ＭＳ 明朝" w:hAnsi="ＭＳ 明朝" w:hint="eastAsia"/>
        </w:rPr>
        <w:t>の単価を除いて算出する。</w:t>
      </w:r>
    </w:p>
    <w:p w:rsidR="002D1F2F" w:rsidRDefault="002D1F2F">
      <w:pPr>
        <w:pStyle w:val="a3"/>
        <w:rPr>
          <w:spacing w:val="0"/>
        </w:rPr>
      </w:pPr>
      <w:r>
        <w:rPr>
          <w:rFonts w:ascii="ＭＳ 明朝" w:hAnsi="ＭＳ 明朝" w:hint="eastAsia"/>
        </w:rPr>
        <w:t xml:space="preserve">　　　　入賞点数　　１～　７点までは単価の上下各１点</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 xml:space="preserve">　　　入賞点数　　８～１５点までは単価の上下各２点</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 xml:space="preserve">　　　入賞点数　１６～３０点までは単価の上下各３点</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 xml:space="preserve">　　　入賞点数　　　　３０点以上は単価の上下各４点</w:t>
      </w:r>
    </w:p>
    <w:p w:rsidR="002D1F2F" w:rsidRDefault="002D1F2F">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(4)基準価格及び補てん金額の算出は、円未満を切り捨てるものとする。</w:t>
      </w:r>
    </w:p>
    <w:p w:rsidR="002D1F2F" w:rsidRDefault="002D1F2F">
      <w:pPr>
        <w:pStyle w:val="a3"/>
        <w:rPr>
          <w:spacing w:val="0"/>
        </w:rPr>
      </w:pPr>
      <w:r>
        <w:rPr>
          <w:rFonts w:ascii="ＭＳ 明朝" w:hAnsi="ＭＳ 明朝" w:hint="eastAsia"/>
          <w:spacing w:val="5"/>
        </w:rPr>
        <w:t xml:space="preserve">     </w:t>
      </w:r>
      <w:r>
        <w:rPr>
          <w:rFonts w:ascii="ＭＳ 明朝" w:hAnsi="ＭＳ 明朝" w:hint="eastAsia"/>
        </w:rPr>
        <w:t>(5)補てん金の精算にあたっては、消費税は対象としない。</w:t>
      </w:r>
    </w:p>
    <w:p w:rsidR="002D1F2F" w:rsidRDefault="002D1F2F">
      <w:pPr>
        <w:pStyle w:val="a3"/>
        <w:rPr>
          <w:spacing w:val="0"/>
        </w:rPr>
      </w:pPr>
    </w:p>
    <w:p w:rsidR="002D1F2F" w:rsidRDefault="002D1F2F">
      <w:pPr>
        <w:pStyle w:val="a3"/>
        <w:rPr>
          <w:spacing w:val="0"/>
        </w:rPr>
      </w:pPr>
    </w:p>
    <w:p w:rsidR="002D1F2F" w:rsidRDefault="002D1F2F">
      <w:pPr>
        <w:pStyle w:val="a3"/>
        <w:rPr>
          <w:spacing w:val="0"/>
        </w:rPr>
      </w:pPr>
    </w:p>
    <w:p w:rsidR="002D1F2F" w:rsidRDefault="00DD460D">
      <w:pPr>
        <w:pStyle w:val="a3"/>
        <w:rPr>
          <w:spacing w:val="0"/>
        </w:rPr>
      </w:pPr>
      <w:r>
        <w:rPr>
          <w:spacing w:val="0"/>
        </w:rPr>
        <w:br w:type="page"/>
      </w:r>
      <w:r w:rsidR="002D1F2F">
        <w:rPr>
          <w:rFonts w:ascii="ＭＳ 明朝" w:hAnsi="ＭＳ 明朝" w:hint="eastAsia"/>
        </w:rPr>
        <w:lastRenderedPageBreak/>
        <w:t>（不落となった出品茶）</w:t>
      </w:r>
    </w:p>
    <w:p w:rsidR="002D1F2F" w:rsidRDefault="002D1F2F">
      <w:pPr>
        <w:pStyle w:val="a3"/>
        <w:rPr>
          <w:spacing w:val="0"/>
        </w:rPr>
      </w:pPr>
      <w:r>
        <w:rPr>
          <w:rFonts w:ascii="ＭＳ 明朝" w:hAnsi="ＭＳ 明朝" w:hint="eastAsia"/>
        </w:rPr>
        <w:t>第５条　茶品評会の販売会要領に基づき販売に付したもので、特別な事情により販売さ　　　れなかった出品茶は、当該出品茶が入賞した等級における県内出品茶の最低販売　　　単価をもって、当該出品茶の販売単価とする。</w:t>
      </w:r>
    </w:p>
    <w:p w:rsidR="002D1F2F" w:rsidRDefault="002D1F2F">
      <w:pPr>
        <w:pStyle w:val="a3"/>
        <w:rPr>
          <w:spacing w:val="0"/>
        </w:rPr>
      </w:pPr>
      <w:r>
        <w:rPr>
          <w:rFonts w:ascii="ＭＳ 明朝" w:hAnsi="ＭＳ 明朝" w:hint="eastAsia"/>
        </w:rPr>
        <w:t xml:space="preserve">　　　　但し、県内出品茶の該当がない場合にあっては、当該等級における全ての出品　　　茶の中の最低販売単価をもって当該出品茶の販売単価とする。</w:t>
      </w:r>
    </w:p>
    <w:p w:rsidR="002D1F2F" w:rsidRDefault="002D1F2F">
      <w:pPr>
        <w:pStyle w:val="a3"/>
        <w:rPr>
          <w:spacing w:val="0"/>
        </w:rPr>
      </w:pPr>
    </w:p>
    <w:p w:rsidR="002D1F2F" w:rsidRDefault="002D1F2F">
      <w:pPr>
        <w:pStyle w:val="a3"/>
        <w:rPr>
          <w:spacing w:val="0"/>
        </w:rPr>
      </w:pPr>
      <w:r>
        <w:rPr>
          <w:rFonts w:ascii="ＭＳ 明朝" w:hAnsi="ＭＳ 明朝" w:hint="eastAsia"/>
        </w:rPr>
        <w:t>（補てん金支払いの減額）</w:t>
      </w:r>
    </w:p>
    <w:p w:rsidR="002D1F2F" w:rsidRDefault="002D1F2F">
      <w:pPr>
        <w:pStyle w:val="a3"/>
        <w:rPr>
          <w:spacing w:val="0"/>
        </w:rPr>
      </w:pPr>
      <w:r>
        <w:rPr>
          <w:rFonts w:ascii="ＭＳ 明朝" w:hAnsi="ＭＳ 明朝" w:hint="eastAsia"/>
        </w:rPr>
        <w:t>第６条　基金制度の運営に支障をきたすような補てん金支払の事態が生じた場合は、前　　　条の規程にかかわらず理事会の議決を経て補てん金の支払いを減額することがで　　　きる。</w:t>
      </w:r>
    </w:p>
    <w:p w:rsidR="002D1F2F" w:rsidRDefault="002D1F2F">
      <w:pPr>
        <w:pStyle w:val="a3"/>
        <w:rPr>
          <w:spacing w:val="0"/>
        </w:rPr>
      </w:pPr>
    </w:p>
    <w:p w:rsidR="002D1F2F" w:rsidRDefault="002D1F2F">
      <w:pPr>
        <w:pStyle w:val="a3"/>
        <w:rPr>
          <w:spacing w:val="0"/>
        </w:rPr>
      </w:pPr>
      <w:r>
        <w:rPr>
          <w:rFonts w:ascii="ＭＳ 明朝" w:hAnsi="ＭＳ 明朝" w:hint="eastAsia"/>
        </w:rPr>
        <w:t>（補てん金の申請）</w:t>
      </w:r>
    </w:p>
    <w:p w:rsidR="002D1F2F" w:rsidRDefault="002D1F2F">
      <w:pPr>
        <w:pStyle w:val="a3"/>
        <w:rPr>
          <w:spacing w:val="0"/>
        </w:rPr>
      </w:pPr>
      <w:r>
        <w:rPr>
          <w:rFonts w:ascii="ＭＳ 明朝" w:hAnsi="ＭＳ 明朝" w:hint="eastAsia"/>
        </w:rPr>
        <w:t>第７条　補てん金を受けようとするものは、市町村茶業振興会または、地区茶業振興会　　　を経由して、県茶生産協会長に申請書（別記様式）に請求書（別記様式）を添え　　　て提出するものとする。</w:t>
      </w:r>
    </w:p>
    <w:p w:rsidR="002D1F2F" w:rsidRDefault="002D1F2F">
      <w:pPr>
        <w:pStyle w:val="a3"/>
        <w:rPr>
          <w:spacing w:val="0"/>
        </w:rPr>
      </w:pPr>
    </w:p>
    <w:p w:rsidR="002D1F2F" w:rsidRDefault="002D1F2F">
      <w:pPr>
        <w:pStyle w:val="a3"/>
        <w:rPr>
          <w:spacing w:val="0"/>
        </w:rPr>
      </w:pPr>
      <w:r>
        <w:rPr>
          <w:rFonts w:ascii="ＭＳ 明朝" w:hAnsi="ＭＳ 明朝" w:hint="eastAsia"/>
        </w:rPr>
        <w:t>（会計処理）</w:t>
      </w:r>
    </w:p>
    <w:p w:rsidR="002D1F2F" w:rsidRDefault="002D1F2F">
      <w:pPr>
        <w:pStyle w:val="a3"/>
        <w:rPr>
          <w:spacing w:val="0"/>
        </w:rPr>
      </w:pPr>
      <w:r>
        <w:rPr>
          <w:rFonts w:ascii="ＭＳ 明朝" w:hAnsi="ＭＳ 明朝" w:hint="eastAsia"/>
        </w:rPr>
        <w:t>第８条　基金に必要な資金は、毎年度予算計上するとともに別途その収支を明らかにす　　　るものとする。</w:t>
      </w:r>
    </w:p>
    <w:p w:rsidR="002D1F2F" w:rsidRDefault="002D1F2F">
      <w:pPr>
        <w:pStyle w:val="a3"/>
        <w:rPr>
          <w:spacing w:val="0"/>
        </w:rPr>
      </w:pPr>
    </w:p>
    <w:p w:rsidR="002D1F2F" w:rsidRDefault="002D1F2F">
      <w:pPr>
        <w:pStyle w:val="a3"/>
        <w:rPr>
          <w:spacing w:val="0"/>
        </w:rPr>
      </w:pPr>
      <w:r>
        <w:rPr>
          <w:rFonts w:ascii="ＭＳ 明朝" w:hAnsi="ＭＳ 明朝" w:hint="eastAsia"/>
        </w:rPr>
        <w:t>（剰余金）</w:t>
      </w:r>
    </w:p>
    <w:p w:rsidR="002D1F2F" w:rsidRDefault="002D1F2F">
      <w:pPr>
        <w:pStyle w:val="a3"/>
        <w:rPr>
          <w:spacing w:val="0"/>
        </w:rPr>
      </w:pPr>
      <w:r>
        <w:rPr>
          <w:rFonts w:ascii="ＭＳ 明朝" w:hAnsi="ＭＳ 明朝" w:hint="eastAsia"/>
        </w:rPr>
        <w:t>第９条　毎事業年度末において、この基金事業に剰余金が生じたときは、その全部を翌　　　事業年度の補てん基金に繰入れるものとする。</w:t>
      </w:r>
    </w:p>
    <w:p w:rsidR="002D1F2F" w:rsidRDefault="002D1F2F">
      <w:pPr>
        <w:pStyle w:val="a3"/>
        <w:rPr>
          <w:spacing w:val="0"/>
        </w:rPr>
      </w:pPr>
    </w:p>
    <w:p w:rsidR="002D1F2F" w:rsidRDefault="002D1F2F">
      <w:pPr>
        <w:pStyle w:val="a3"/>
        <w:rPr>
          <w:spacing w:val="0"/>
        </w:rPr>
      </w:pPr>
      <w:r>
        <w:rPr>
          <w:rFonts w:ascii="ＭＳ 明朝" w:hAnsi="ＭＳ 明朝" w:hint="eastAsia"/>
        </w:rPr>
        <w:t>（借入金）</w:t>
      </w:r>
    </w:p>
    <w:p w:rsidR="002D1F2F" w:rsidRDefault="002D1F2F">
      <w:pPr>
        <w:pStyle w:val="a3"/>
        <w:rPr>
          <w:spacing w:val="0"/>
        </w:rPr>
      </w:pPr>
      <w:r>
        <w:rPr>
          <w:rFonts w:ascii="ＭＳ 明朝" w:hAnsi="ＭＳ 明朝" w:hint="eastAsia"/>
        </w:rPr>
        <w:t>第１０条　補てん基金支払い資金に不足を生じる場合は、理事会の議決を経て借入をす　　　ることができるものとし、その借入金は翌事業年度に繰りこすことができる。</w:t>
      </w:r>
    </w:p>
    <w:p w:rsidR="002D1F2F" w:rsidRDefault="002D1F2F">
      <w:pPr>
        <w:pStyle w:val="a3"/>
        <w:rPr>
          <w:spacing w:val="0"/>
        </w:rPr>
      </w:pPr>
    </w:p>
    <w:p w:rsidR="002D1F2F" w:rsidRDefault="002D1F2F">
      <w:pPr>
        <w:pStyle w:val="a3"/>
        <w:rPr>
          <w:spacing w:val="0"/>
        </w:rPr>
      </w:pPr>
    </w:p>
    <w:p w:rsidR="002D1F2F" w:rsidRDefault="002D1F2F">
      <w:pPr>
        <w:pStyle w:val="a3"/>
        <w:rPr>
          <w:spacing w:val="0"/>
        </w:rPr>
      </w:pPr>
      <w:r>
        <w:rPr>
          <w:rFonts w:ascii="ＭＳ 明朝" w:hAnsi="ＭＳ 明朝" w:hint="eastAsia"/>
        </w:rPr>
        <w:t>適　用</w:t>
      </w:r>
    </w:p>
    <w:p w:rsidR="002D1F2F" w:rsidRDefault="002D1F2F">
      <w:pPr>
        <w:pStyle w:val="a3"/>
        <w:rPr>
          <w:spacing w:val="0"/>
        </w:rPr>
      </w:pPr>
      <w:r>
        <w:rPr>
          <w:rFonts w:ascii="ＭＳ 明朝" w:hAnsi="ＭＳ 明朝" w:hint="eastAsia"/>
        </w:rPr>
        <w:t xml:space="preserve">　この規程は、平成６年産出品茶から適用する。</w:t>
      </w:r>
    </w:p>
    <w:p w:rsidR="002D1F2F" w:rsidRDefault="002D1F2F">
      <w:pPr>
        <w:pStyle w:val="a3"/>
        <w:rPr>
          <w:spacing w:val="0"/>
        </w:rPr>
      </w:pPr>
    </w:p>
    <w:p w:rsidR="002D1F2F" w:rsidRDefault="002D1F2F">
      <w:pPr>
        <w:pStyle w:val="a3"/>
        <w:rPr>
          <w:spacing w:val="0"/>
        </w:rPr>
      </w:pPr>
      <w:r>
        <w:rPr>
          <w:rFonts w:ascii="ＭＳ 明朝" w:hAnsi="ＭＳ 明朝" w:hint="eastAsia"/>
        </w:rPr>
        <w:t>附　則</w:t>
      </w:r>
    </w:p>
    <w:p w:rsidR="002D1F2F" w:rsidRDefault="002D1F2F">
      <w:pPr>
        <w:pStyle w:val="a3"/>
        <w:rPr>
          <w:spacing w:val="0"/>
        </w:rPr>
      </w:pPr>
      <w:r>
        <w:rPr>
          <w:rFonts w:ascii="ＭＳ 明朝" w:hAnsi="ＭＳ 明朝" w:hint="eastAsia"/>
        </w:rPr>
        <w:t xml:space="preserve">　この規程は平成６年　５月２７日より実施する。</w:t>
      </w:r>
    </w:p>
    <w:p w:rsidR="002D1F2F" w:rsidRDefault="002D1F2F">
      <w:pPr>
        <w:pStyle w:val="a3"/>
        <w:rPr>
          <w:spacing w:val="0"/>
        </w:rPr>
      </w:pPr>
      <w:r>
        <w:rPr>
          <w:rFonts w:ascii="ＭＳ 明朝" w:hAnsi="ＭＳ 明朝" w:hint="eastAsia"/>
        </w:rPr>
        <w:t xml:space="preserve">　この規程は平成８年１２月１７日より実施する。</w:t>
      </w:r>
    </w:p>
    <w:p w:rsidR="002D1F2F" w:rsidRDefault="002D1F2F">
      <w:pPr>
        <w:pStyle w:val="a3"/>
        <w:rPr>
          <w:spacing w:val="0"/>
        </w:rPr>
      </w:pPr>
    </w:p>
    <w:p w:rsidR="002D1F2F" w:rsidRDefault="002D1F2F">
      <w:pPr>
        <w:pStyle w:val="a3"/>
        <w:rPr>
          <w:spacing w:val="0"/>
        </w:rPr>
      </w:pPr>
    </w:p>
    <w:p w:rsidR="002D1F2F" w:rsidRDefault="002D1F2F">
      <w:pPr>
        <w:pStyle w:val="a3"/>
        <w:rPr>
          <w:spacing w:val="0"/>
        </w:rPr>
      </w:pPr>
    </w:p>
    <w:p w:rsidR="002D1F2F" w:rsidRDefault="002D1F2F">
      <w:pPr>
        <w:pStyle w:val="a3"/>
        <w:rPr>
          <w:spacing w:val="0"/>
        </w:rPr>
      </w:pPr>
      <w:bookmarkStart w:id="0" w:name="_GoBack"/>
      <w:bookmarkEnd w:id="0"/>
    </w:p>
    <w:sectPr w:rsidR="002D1F2F" w:rsidSect="002D1F2F">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15" w:rsidRDefault="00703F15" w:rsidP="005B2CB3">
      <w:r>
        <w:separator/>
      </w:r>
    </w:p>
  </w:endnote>
  <w:endnote w:type="continuationSeparator" w:id="0">
    <w:p w:rsidR="00703F15" w:rsidRDefault="00703F15" w:rsidP="005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15" w:rsidRDefault="00703F15" w:rsidP="005B2CB3">
      <w:r>
        <w:separator/>
      </w:r>
    </w:p>
  </w:footnote>
  <w:footnote w:type="continuationSeparator" w:id="0">
    <w:p w:rsidR="00703F15" w:rsidRDefault="00703F15" w:rsidP="005B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F2F"/>
    <w:rsid w:val="000A1478"/>
    <w:rsid w:val="001A30AE"/>
    <w:rsid w:val="001D4B9F"/>
    <w:rsid w:val="002D1F2F"/>
    <w:rsid w:val="005B2CB3"/>
    <w:rsid w:val="00703F15"/>
    <w:rsid w:val="00A244AE"/>
    <w:rsid w:val="00DD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2E188D"/>
  <w14:defaultImageDpi w14:val="0"/>
  <w15:docId w15:val="{16E41FB2-EAAE-43D9-A646-F27F2482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Century" w:eastAsia="ＭＳ 明朝" w:hAnsi="Century" w:cs="ＭＳ 明朝"/>
      <w:spacing w:val="10"/>
      <w:sz w:val="21"/>
      <w:szCs w:val="21"/>
    </w:rPr>
  </w:style>
  <w:style w:type="paragraph" w:styleId="a4">
    <w:name w:val="header"/>
    <w:basedOn w:val="a"/>
    <w:link w:val="a5"/>
    <w:uiPriority w:val="99"/>
    <w:unhideWhenUsed/>
    <w:rsid w:val="005B2CB3"/>
    <w:pPr>
      <w:tabs>
        <w:tab w:val="center" w:pos="4252"/>
        <w:tab w:val="right" w:pos="8504"/>
      </w:tabs>
      <w:snapToGrid w:val="0"/>
    </w:pPr>
  </w:style>
  <w:style w:type="character" w:customStyle="1" w:styleId="a5">
    <w:name w:val="ヘッダー (文字)"/>
    <w:basedOn w:val="a0"/>
    <w:link w:val="a4"/>
    <w:uiPriority w:val="99"/>
    <w:rsid w:val="005B2CB3"/>
  </w:style>
  <w:style w:type="paragraph" w:styleId="a6">
    <w:name w:val="footer"/>
    <w:basedOn w:val="a"/>
    <w:link w:val="a7"/>
    <w:uiPriority w:val="99"/>
    <w:unhideWhenUsed/>
    <w:rsid w:val="005B2CB3"/>
    <w:pPr>
      <w:tabs>
        <w:tab w:val="center" w:pos="4252"/>
        <w:tab w:val="right" w:pos="8504"/>
      </w:tabs>
      <w:snapToGrid w:val="0"/>
    </w:pPr>
  </w:style>
  <w:style w:type="character" w:customStyle="1" w:styleId="a7">
    <w:name w:val="フッター (文字)"/>
    <w:basedOn w:val="a0"/>
    <w:link w:val="a6"/>
    <w:uiPriority w:val="99"/>
    <w:rsid w:val="005B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ogle_drive\IT&#20107;&#26989;&#37096;\05&#12463;&#12521;&#12452;&#12450;&#12531;&#12488;\&#40575;&#20816;&#23798;&#33590;&#29983;&#29987;&#21332;&#20250;\WEB&#32032;&#26448;\&#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29</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sudou</dc:creator>
  <cp:keywords/>
  <dc:description/>
  <cp:lastModifiedBy>sudou</cp:lastModifiedBy>
  <cp:revision>5</cp:revision>
  <dcterms:created xsi:type="dcterms:W3CDTF">2021-01-12T01:57:00Z</dcterms:created>
  <dcterms:modified xsi:type="dcterms:W3CDTF">2021-01-12T02:37:00Z</dcterms:modified>
</cp:coreProperties>
</file>